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79 vom 30. Juli 2020</w:t>
      </w:r>
    </w:p>
    <w:p>
      <w:r>
        <w:t>GR Gerichte, 2020-07-30, DE</w:t>
      </w:r>
    </w:p>
    <w:p>
      <w:r>
        <w:rPr>
          <w:b/>
        </w:rPr>
        <w:t xml:space="preserve">Quelle: </w:t>
      </w:r>
      <w:r>
        <w:t>https://mcp.opencaselaw.ch/entscheid/gr_gerichte_KSK 2020 79</w:t>
      </w:r>
    </w:p>
    <w:p>
      <w:r>
        <w:t>FR: GR_GERICHTE KSK 2020 79 du 30 juillet 2020</w:t>
      </w:r>
    </w:p>
    <w:p>
      <w:r>
        <w:t>IT: GR_GERICHTE KSK 2020 79 del 30 luglio 2020</w:t>
      </w:r>
    </w:p>
    <w:p>
      <w:pPr>
        <w:pStyle w:val="Heading2"/>
      </w:pPr>
      <w:r>
        <w:t>Regeste</w:t>
      </w:r>
    </w:p>
    <w:p>
      <w:r>
        <w:t>Pfändungsankündigung | Aufsicht Beschwerde (SchKG 17 Abs. 1)</w:t>
      </w:r>
    </w:p>
    <w:p>
      <w:pPr>
        <w:pStyle w:val="Heading2"/>
      </w:pPr>
      <w:r>
        <w:t>Erwägungen</w:t>
      </w:r>
    </w:p>
    <w:p>
      <w:r>
        <w:rPr>
          <w:b/>
        </w:rPr>
        <w:t>E. 3</w:t>
      </w:r>
    </w:p>
    <w:p>
      <w:r>
        <w:t>/ 6 G. Mit Stellungnahme vom 23. Juni 2020 beantragte das Betreibungsamt Plessur die Gutheissung der Beschwerde, da einerseits ein rechtsgültiger Rechts- vorschlag über die gesamte Forderung vorliege und ein Rechtsvorschlag gemäss bundesgerichtlicher Rechtsprechung andererseits im Zweifelsfall zugunsten des Schuldners auszulegen sei. H. In ihrer Stellungnahme vom 22. Juni 2020 (eingegangen am 29. Juni 2020) beantragte die B._____ (nachfolgend: Beschwerdegegnerin) sinngemäss die Ab- weisung der Beschwerde, da aufgrund der Informationen auf dem Gläubigerex- emplar des Zahlungsbefehls davon ausgegangen worden sei, dass nur ein Teil- rechtsvorschlag erhoben worden war und das Fortsetzungsbegehren somit korrekt eingereicht worden sei. I. Auf die weiteren Ausführungen in den Eingaben und Akten wird, soweit er- forderlich, in den nachfolgenden Erwägungen eingegangen. II. Erwägungen 1.1. Gemäss Art. 17 Abs. 1 und 2 SchKG kann mit Ausnahme der Fälle, in de- nen dieses Gesetz den Weg der gerichtlichen Klage vorschreibt, gegen jede Ver- fügung eines Betreibungs- oder eines Konkursamtes innert 10 Tagen wegen Ge- setzesverletzung oder Unangemessenheit Beschwerde bei der Aufsichtsbehörde geführt werden. 1.2. Anfechtungsobjekt bildet vorliegend die Pfändungsankündigung vom 5. Juni 2020, welche dem Beschwerdeführer am 6. Juni 2020 zuging. Da nicht nachge- wiesen ist, dass die erste Pfändungsankündigung vom 28. Mai 2020 dem Be- schwerdeführer zugegangen ist, wurde die 10-tägige Beschwerdefrist erst mit der Zustellung der zweiten Pfändungsankündigung ausgelöst. Mit der Eingabe vom 11. Juni 2020 wurde die Beschwerdefrist somit gewahrt. 1.3. Der Beschwerdeführer hat nach der Anhebung der Betreibung und vor der Zustellung der Pfändungsankündigung seinen Wohnsitz von O.1_____ nach O.2_____ verlegt. Für die Fortsetzung der Betreibung war daher das Betreibungs- amt Plessur zuständig (vgl. Art. 53 SchKG; BGE 136 III 373 E. 2.1). Die für die Beschwerde gegen die Pfändungsankündigung zuständige Aufsichtsbehörde ist somit das Kantonsgericht von Graubünden (Art. 13 des Einführungsgesetzes zum Bundesgesetz über Schuldbetreibung und Konkurs [EGzSchKG; BR 220.000]). Die interne Zuständigkeit fällt gemäss Art. 8 Abs. 2 der Verordnung über die Or- ganisation des Kantonsgerichts (KGV; BR 173.100) der Schuldbetreibungs- und</w:t>
      </w:r>
    </w:p>
    <w:p>
      <w:r>
        <w:rPr>
          <w:b/>
        </w:rPr>
        <w:t>E. 4</w:t>
      </w:r>
    </w:p>
    <w:p>
      <w:r>
        <w:t>/ 6 Konkurskammer zu. Auf die bei der zuständigen Aufsichtsbehörde frist- und form- gerecht eingereichte Beschwerde ist folglich einzutreten. 2.1. Vorliegend ist strittig, ob die Betreibung gegen den Beschwerdeführer zu Recht teilweise fortgesetzt wurde. Es ist daher zu prüfen, ob der Beschwerdefüh- rer Rechtsvorschlag gegen die gesamte in Betreibung gesetzte Forderung oder nur Teilrechtsvorschlag im Umfang von CHF 1'953.00 erhoben hat. 2.2. Gemäss Art. 74 SchKG hat der Betriebene sofort gegenüber dem Überbrin- ger oder innert 10 Tagen nach der Zustellung des Zahlungsbefehls beim Betrei- bungsamt Rechtsvorschlag zu erheben (Abs. 1). Wird die Forderung nur teilweise bestritten, so ist der bestrittene Betrag genau anzugeben. Wird dies unterlassen, so gilt die ganze Forderung als bestritten (Abs. 2). Der Rechtsvorschlag ist an kei- ne Form gebunden und bei der vorliegend anwendbaren Betreibungsart auch oh- ne Begründung gültig. In der Äusserung des Rechtsvorschlag erhebenden Schuldners muss aber dessen Willen, das Betreibungsverfahren sei einzustellen und ein Richter habe über die Sache zu entscheiden, zu erblicken sein (Balthasar Bessenich, in: Staehelin/Bauer/Staehelin, Basler Kommentar zum Bundesgesetz über Schuldnbetreibung und Konkurs I, 2. Auflage, Zürich 2010, N 21 zu Art. 74 SchKG). Bei der Auslegung eines unklaren Rechtsvorschlags gehen Lehre und Rechtsprechung vom Grundsatz in dubio pro debitore aus, da die Konsequenzen der Ungültigkeit eines Rechtsvorschlags für den Schuldner schwerwiegender sind als diejenigen der Gültigkeit für den Gläubiger (BGE 108 III 6 E. 3; Urteil des Bun- desgerichts 5A_846/2012 vom 4. November 2013 E. 6.2.1; vgl. ferner BGE 140 III 567 E. 2.3 mit Hinweisen auf die demgegenüber teilweise kritische Lehre). 2.3. Es ist zunächst vorauszuschicken, dass für die Auslegung des Rechtsvor- schlags durch die Aufsichtsbehörde das Schuldnerexemplar und nicht das bereits eine Interpretation des Betreibungsamts enthaltende Gläubigerexemplar des Zah- lungsbefehls massgebend ist. Betrachtet man den vom Beschwerdeführer fristge- recht erhobenen Rechtsvorschlag, so erscheint das Vorgehen in der Tat verwir- rend. Einerseits hat der Beschwerdeführer auf dem Schuldnerexemplar des Zah- lungsbefehls die Rubrik "Rechtsvorschlag (gesamte Forderung)" angekreuzt, an- dererseits aber unter der (nicht angekreuzten) Rubrik "Teilrechtsvorschlag" CHF 1'953.00 als bestrittenen Betrag eingesetzt. Dies lässt Zweifel daran entste- hen, ob der Schuldner wirklich die gesamte Forderung bestreiten wollte oder nur einen Teil davon. 2.4. Es steht vorliegend im Vordergrund, dass der Beschwerdeführer unter dem Abschnitt "Rechtsvorschlag" auf dem Schuldnerexemplar des Zahlungsbefehls für</w:t>
      </w:r>
    </w:p>
    <w:p>
      <w:r>
        <w:rPr>
          <w:b/>
        </w:rPr>
        <w:t>E. 5</w:t>
      </w:r>
    </w:p>
    <w:p>
      <w:r>
        <w:t>/ 6 die gesamte Forderung Recht vorgeschlagen hat. Darauf, dass er mit der Einset- zung eines bestrittenen Betrags auf den gesamthaft erhobenen Rechtsvorschlag zurückkommen wollte, kann nicht mit hinreichender Klarheit geschlossen werden. Im Gegenteil. Mit der Einreichung der Beschwerde gegen die Pfändungsankündi- gung und dem Hinweis, er habe versehentlich CHF 1'953.00 als bestrittenen Be- trag aufgeführt, weil er als Laie durch den Begriff "bestrittener Betrag" verwirrt ge- wesen sei, bekundet der Beschwerdeführer, dass er nicht einen Teil der Forde- rung anerkennen wollte, sondern eben Rechtsvorschlag für die gesamte in Betrei- bung gesetzte Forderung erheben wollte. Nach dem Grundsatz in dubio pro debi- tore ist daher davon auszugehen, dass der vom Beschwerdeführer erhobene Rechtsvorschlag für die gesamte Forderung gilt. Davon geht auch das Betrei- bungsamt Plessur aus. 2.5. Die Beschwerde ist daher gutzuheissen, die angefochtene Pfändungs- ankündigung aufzuheben und die Gläubiger sind für die gesamte Forderung ins Rechtsöffnungsverfahren zu verweisen. 3. Gemäss Art. 20a Abs. 2 Ziff. 5 SchKG ist dieses Beschwerdeverfahren kos- tenlos. Es dürfen auch keine ausseramtlichen Entschädigungen zugesprochen werden (Art. 62 Abs. 2 der Gebührenverordnung zum Bundesgesetz über Schuld- betreibung und Konkurs [GebV SchKG; SR 281.35]).</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